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7D79" w:rsidRDefault="00D07D79">
      <w:pPr>
        <w:pStyle w:val="a"/>
      </w:pPr>
    </w:p>
    <w:p w:rsidR="00D07D79" w:rsidRDefault="00D07D79">
      <w:pPr>
        <w:pStyle w:val="a1"/>
      </w:pPr>
    </w:p>
    <w:p w:rsidR="00D07D79" w:rsidRDefault="00000000">
      <w:pPr>
        <w:pStyle w:val="af3"/>
        <w:rPr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附件3：</w:t>
      </w:r>
    </w:p>
    <w:p w:rsidR="00D07D79" w:rsidRDefault="00000000">
      <w:pPr>
        <w:pStyle w:val="af3"/>
        <w:jc w:val="center"/>
        <w:rPr>
          <w:rFonts w:ascii="黑体" w:eastAsia="黑体"/>
        </w:rPr>
      </w:pPr>
      <w:r>
        <w:rPr>
          <w:rFonts w:ascii="黑体" w:eastAsia="黑体" w:hint="eastAsia"/>
        </w:rPr>
        <w:t>购物场所旅游服务质量等级划分与评分说明</w:t>
      </w:r>
    </w:p>
    <w:p w:rsidR="00D07D79" w:rsidRDefault="00000000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一、为划分与评定购物场所的旅游服务质量等级，根据浙江省地方标准《购物场所旅游服务规范》（DB33/T 527-2016）的要求，制定“购物场所旅游服务质量等级评分表”（见表2）。</w:t>
      </w:r>
    </w:p>
    <w:p w:rsidR="00D07D79" w:rsidRDefault="00000000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二、“购物场所旅游服务质量等级评分表”主要由总则、基本要求、旅游服务和质量管理四部分组成。除“总则”的要求为必须达到的项目之外，其他部分均赋以一定分值，总分为1000分。其中，基本要求评价为320分；旅游服务评价为440分；质量管理评价为240分。</w:t>
      </w:r>
    </w:p>
    <w:p w:rsidR="00D07D79" w:rsidRDefault="00000000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三、购物场所旅游服务质量等级根据评分进行划定，总分950分以上为五星级、总分900-949分为四星级、总分850-899分为三星级、总分800-849分为二星级、总分750-799分为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星级。</w:t>
      </w:r>
    </w:p>
    <w:p w:rsidR="00D07D79" w:rsidRDefault="00000000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四、申报单位应填写评分表（见表2）中的“自评得分”栏，并提交县（市、区）文化和旅游单位的相关部门。</w:t>
      </w:r>
    </w:p>
    <w:p w:rsidR="00D07D79" w:rsidRDefault="00000000">
      <w:pPr>
        <w:jc w:val="center"/>
        <w:rPr>
          <w:rFonts w:ascii="黑体" w:eastAsia="黑体" w:hAnsi="宋体" w:hint="eastAsia"/>
        </w:rPr>
      </w:pPr>
      <w:r>
        <w:rPr>
          <w:rFonts w:ascii="黑体" w:eastAsia="黑体" w:hAnsi="宋体" w:hint="eastAsia"/>
        </w:rPr>
        <w:t>表2  购物场所旅游服务质量等级评分表</w:t>
      </w:r>
    </w:p>
    <w:tbl>
      <w:tblPr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7"/>
        <w:gridCol w:w="4677"/>
        <w:gridCol w:w="1029"/>
        <w:gridCol w:w="955"/>
        <w:gridCol w:w="1012"/>
        <w:gridCol w:w="985"/>
      </w:tblGrid>
      <w:tr w:rsidR="00D07D79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序 号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评    分    项    目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最高得分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分档计分</w:t>
            </w: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评定得分</w:t>
            </w: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总则（必备项目）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合法经营、证照齐全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诚信经营、明码标价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不销售假冒伪劣产品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不强迫或变相强迫购物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D07D79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位于城市主要商业区或4A及以上旅游景区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距离城市主要商业区或4A及以上旅游景区5公里以内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距离城市主要商业区或4A及以上旅游景区10公里以内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交通便利，有公共交通或自有接送车可达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有自有接送车可达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导向系统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导向标志数量充足，符合GB/T 15566相关部分的要求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导向标准设置符合GB/T 15566相关部分的要求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安全应急预案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制定科学有效的突发事件应急预案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定期进行安全应急演练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安全设施设备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安全设施设备充足完好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安全设施设备定期检查，并将结果记录在案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有监控设施，覆盖主要区域和通道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安保人员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有充足的安保人员，定期巡查，确保安全通道畅通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有安保人员巡查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2.7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安全标志及其使用符合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2894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医疗点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2.8.1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设有医疗点，能提供简单基础的医疗服务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整体卫生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购物场所卫生条件符合GB 9664或GB 9670的要求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室内空气质量符合GB/T 18883的规定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公厕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2.10.1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公厕数量充足，分布恰当，满足游客需要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2.10.2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公厕卫生条件符合GB/T 17217的要求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保洁人员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有充足的卫生保洁人员，定期清洁，确保场所干净整洁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有卫生保洁人员清洁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废弃物处理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废弃物统一收集、处理和排放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停车设施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自有900平米以上停车场或周边有30个以上公共停车位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自有600平米以上停车场或周边有20个以上公共停车位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自有300平米以上停车场或周边有10个以上公共停车位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无障碍设施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有三种以上无障碍设施，设计符合GB 50763的要求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有一种以上无障碍设施，设计符合GB 50763的要求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其他公共设施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三层（不含）以上经营场所配有电梯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设置母婴室，配备母婴服务设施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结算服务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合理设置收银点，提供银行卡结算服务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2.16.2</w:t>
            </w:r>
          </w:p>
        </w:tc>
        <w:tc>
          <w:tcPr>
            <w:tcW w:w="467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提供移动互联网等新型结算服务</w:t>
            </w:r>
          </w:p>
        </w:tc>
        <w:tc>
          <w:tcPr>
            <w:tcW w:w="102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旅游服务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440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环境营造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与周边环境协调、装修有特色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购物场所内外设置有休闲文化景观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店牌广告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规范设置店牌和户外广告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店牌和广告的英文译写符合GB/T 30240.1的要求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灯光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室内外灯光照度适宜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有夜景灯光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室内氛围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背景音乐与环境协调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室内温度、湿度适宜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有专门的游客服务中心（点）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设置和服务符合LB/T 011的要求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3.5.3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放置有关购物、游览、休憩等公共信息资料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基础公共服务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提供公共广播服务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提供行李寄存服务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提供商品包装和邮寄服务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提供免费饮用水获取服务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工具租用服务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提供三种以上（轮椅、雨具、数据线等）工具租用服务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rPr>
          <w:trHeight w:val="65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提供一种以上工具租用服务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提供两种以上外语服务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提供一种以上外语服务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服务人员态度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有常设性的接待服务人员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服务人员文明、礼貌、热情服务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3.10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图形符号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3.10.1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图形符号数量充足，符合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GB/T 10001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相关部分的要求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3.10.2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图形符号符合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GB/T 10001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相关部分的要求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休闲区域和设施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有特色的公共休憩区域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有充足的休憩设施和休闲娱乐服务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特色餐饮服务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自有特色餐饮服务，卫生条件达到GB 16153的要求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附近有特色餐饮服务，能满足游客需求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附近有餐饮服务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讲解服务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能提供讲解或导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（购）服务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讲解或导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（购）内容生动，符合LB/T 014的要求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所售商品充分体现当地特色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所售商品包装、营销等充分体现特色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商品展销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每年举办三次以上特色商品展销活动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每年举办一次以上特色商品展销活动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商业活动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每年举办三次以上民俗、文化、商贸、节庆等相关活动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每年举办一次以上民俗、文化、商贸、节庆等相关活动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互动体验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有游客互动区，开展鉴别、制作等互动活动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3.17.2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有主题展览区，注重文化保护和传承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3.17.3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有表演销售区，展示商品文化特色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智慧服务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有自助式查询系统，提供自助导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（购）服务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实时向游客提供最大承载量和瞬间承载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量信息</w:t>
            </w:r>
            <w:proofErr w:type="gramEnd"/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3.18.3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全域覆盖Wi-Fi信号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在线服务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自有网站，提供在线购物等互联网服务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与相关平台合作，提供在线购物等互联网服务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240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品牌形象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自有商品或服务质量品牌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有统一的形象标识和宣传口号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合作推广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与五家以上旅行社开展合作推广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与一家以上旅行社开展合作推广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媒体营销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与三家以上媒体开展合作营销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与一家以上媒体开展合作营销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进行定期员工培训和考核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员工培训率达到100%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员工培训合格率达到95%以上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员工培训合格率达到90%以上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员工培训合格率达到85%以上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有专门的质量投诉管理机构和完善的投诉处理解决机制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有赔偿先付、无理由退款等退货制度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公布商品和服务质量投诉电话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建立档案，及时处理并反馈每一件投诉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投诉满意率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投诉处理满意率达到95%以上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投诉处理满意率达到90%以上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投诉处理满意率达到85%以上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满意度调查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4.8.1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每年不少于2次，每批次样本不少于200人次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有合理的调查方法，可参考SB/T 10409的规定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游客满意度不低于95%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游客满意度不低于90%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游客满意度不低于85%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4.10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服务改进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4.10.1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有服务质量监督检查和持续改进机制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07D79">
        <w:tc>
          <w:tcPr>
            <w:tcW w:w="8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D07D79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07D79" w:rsidRDefault="00D07D7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D07D79" w:rsidRDefault="00D07D79">
      <w:pPr>
        <w:widowControl/>
        <w:spacing w:line="240" w:lineRule="atLeast"/>
      </w:pPr>
    </w:p>
    <w:p w:rsidR="00D07D79" w:rsidRDefault="00D07D79">
      <w:pPr>
        <w:pStyle w:val="af2"/>
        <w:ind w:firstLineChars="0" w:firstLine="0"/>
      </w:pPr>
    </w:p>
    <w:p w:rsidR="00D07D79" w:rsidRDefault="00000000">
      <w:pPr>
        <w:pStyle w:val="af2"/>
        <w:ind w:firstLineChars="0" w:firstLine="0"/>
        <w:jc w:val="center"/>
      </w:pPr>
      <w:r>
        <w:rPr>
          <w:rFonts w:hint="eastAsia"/>
        </w:rPr>
        <w:t>________________________</w:t>
      </w:r>
    </w:p>
    <w:p w:rsidR="00D07D79" w:rsidRDefault="00D07D79"/>
    <w:sectPr w:rsidR="00D07D79">
      <w:footerReference w:type="default" r:id="rId8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778C" w:rsidRDefault="00B9778C" w:rsidP="00B91E74">
      <w:r>
        <w:separator/>
      </w:r>
    </w:p>
  </w:endnote>
  <w:endnote w:type="continuationSeparator" w:id="0">
    <w:p w:rsidR="00B9778C" w:rsidRDefault="00B9778C" w:rsidP="00B9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933435"/>
      <w:docPartObj>
        <w:docPartGallery w:val="Page Numbers (Bottom of Page)"/>
        <w:docPartUnique/>
      </w:docPartObj>
    </w:sdtPr>
    <w:sdtContent>
      <w:p w:rsidR="00B91E74" w:rsidRDefault="00B91E74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91E74" w:rsidRDefault="00B91E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778C" w:rsidRDefault="00B9778C" w:rsidP="00B91E74">
      <w:r>
        <w:separator/>
      </w:r>
    </w:p>
  </w:footnote>
  <w:footnote w:type="continuationSeparator" w:id="0">
    <w:p w:rsidR="00B9778C" w:rsidRDefault="00B9778C" w:rsidP="00B9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2129426579">
    <w:abstractNumId w:val="2"/>
  </w:num>
  <w:num w:numId="2" w16cid:durableId="1733501531">
    <w:abstractNumId w:val="1"/>
  </w:num>
  <w:num w:numId="3" w16cid:durableId="102898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85E"/>
    <w:rsid w:val="000339A5"/>
    <w:rsid w:val="000D0B37"/>
    <w:rsid w:val="000F12AC"/>
    <w:rsid w:val="000F63AE"/>
    <w:rsid w:val="0010083F"/>
    <w:rsid w:val="00115138"/>
    <w:rsid w:val="00137351"/>
    <w:rsid w:val="00143BA1"/>
    <w:rsid w:val="00171E71"/>
    <w:rsid w:val="0017475D"/>
    <w:rsid w:val="00190C14"/>
    <w:rsid w:val="001B2E9C"/>
    <w:rsid w:val="00270086"/>
    <w:rsid w:val="00295002"/>
    <w:rsid w:val="0031682C"/>
    <w:rsid w:val="003169D6"/>
    <w:rsid w:val="00332428"/>
    <w:rsid w:val="00367ABC"/>
    <w:rsid w:val="003748CF"/>
    <w:rsid w:val="003A2AE5"/>
    <w:rsid w:val="003C4732"/>
    <w:rsid w:val="0049385E"/>
    <w:rsid w:val="004C1939"/>
    <w:rsid w:val="004E015E"/>
    <w:rsid w:val="00525A55"/>
    <w:rsid w:val="00540A8B"/>
    <w:rsid w:val="00596F32"/>
    <w:rsid w:val="00597217"/>
    <w:rsid w:val="005A6802"/>
    <w:rsid w:val="005B6840"/>
    <w:rsid w:val="0062286E"/>
    <w:rsid w:val="00695E77"/>
    <w:rsid w:val="006A09F5"/>
    <w:rsid w:val="00720DD0"/>
    <w:rsid w:val="00742CE6"/>
    <w:rsid w:val="007D12D4"/>
    <w:rsid w:val="007E4047"/>
    <w:rsid w:val="0080715D"/>
    <w:rsid w:val="00831BBD"/>
    <w:rsid w:val="00963C70"/>
    <w:rsid w:val="009B29DB"/>
    <w:rsid w:val="009C0683"/>
    <w:rsid w:val="009C1B2A"/>
    <w:rsid w:val="009E16B1"/>
    <w:rsid w:val="00A45E46"/>
    <w:rsid w:val="00A572A5"/>
    <w:rsid w:val="00A65198"/>
    <w:rsid w:val="00A902E7"/>
    <w:rsid w:val="00B7617E"/>
    <w:rsid w:val="00B91E74"/>
    <w:rsid w:val="00B9778C"/>
    <w:rsid w:val="00C05154"/>
    <w:rsid w:val="00C13E80"/>
    <w:rsid w:val="00C6258E"/>
    <w:rsid w:val="00D07D79"/>
    <w:rsid w:val="00D577A3"/>
    <w:rsid w:val="00DC5315"/>
    <w:rsid w:val="00DE2AB4"/>
    <w:rsid w:val="00E839EA"/>
    <w:rsid w:val="00EF781F"/>
    <w:rsid w:val="00F728BD"/>
    <w:rsid w:val="00F824FD"/>
    <w:rsid w:val="00FA0EF0"/>
    <w:rsid w:val="00FF1629"/>
    <w:rsid w:val="5A1F714D"/>
    <w:rsid w:val="794F6249"/>
    <w:rsid w:val="7E6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A21AE0-D4E6-42BB-AE27-7F09B1E2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b"/>
    <w:link w:val="af0"/>
    <w:uiPriority w:val="99"/>
    <w:rPr>
      <w:sz w:val="18"/>
      <w:szCs w:val="18"/>
    </w:rPr>
  </w:style>
  <w:style w:type="character" w:customStyle="1" w:styleId="af">
    <w:name w:val="页脚 字符"/>
    <w:basedOn w:val="ab"/>
    <w:link w:val="ae"/>
    <w:uiPriority w:val="99"/>
    <w:rPr>
      <w:sz w:val="18"/>
      <w:szCs w:val="18"/>
    </w:rPr>
  </w:style>
  <w:style w:type="paragraph" w:customStyle="1" w:styleId="af2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b"/>
    <w:link w:val="af2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2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2"/>
    <w:qFormat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2"/>
    <w:qFormat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2"/>
    <w:qFormat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2"/>
    <w:qFormat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2"/>
    <w:pPr>
      <w:numPr>
        <w:ilvl w:val="5"/>
      </w:numPr>
      <w:outlineLvl w:val="5"/>
    </w:pPr>
  </w:style>
  <w:style w:type="paragraph" w:customStyle="1" w:styleId="a">
    <w:name w:val="附录图标号"/>
    <w:basedOn w:val="aa"/>
    <w:qFormat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2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2"/>
    <w:qFormat/>
    <w:pPr>
      <w:numPr>
        <w:ilvl w:val="6"/>
      </w:numPr>
      <w:outlineLvl w:val="6"/>
    </w:pPr>
  </w:style>
  <w:style w:type="paragraph" w:customStyle="1" w:styleId="a4">
    <w:name w:val="附录章标题"/>
    <w:next w:val="af2"/>
    <w:qFormat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5">
    <w:name w:val="附录一级条标题"/>
    <w:basedOn w:val="a4"/>
    <w:next w:val="af2"/>
    <w:qFormat/>
    <w:pPr>
      <w:numPr>
        <w:ilvl w:val="2"/>
      </w:numPr>
      <w:autoSpaceDN w:val="0"/>
      <w:spacing w:beforeLines="50" w:afterLines="50"/>
      <w:outlineLvl w:val="2"/>
    </w:pPr>
  </w:style>
  <w:style w:type="paragraph" w:styleId="af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Lenovo</cp:lastModifiedBy>
  <cp:revision>8</cp:revision>
  <cp:lastPrinted>2024-09-30T01:08:00Z</cp:lastPrinted>
  <dcterms:created xsi:type="dcterms:W3CDTF">2016-09-20T08:51:00Z</dcterms:created>
  <dcterms:modified xsi:type="dcterms:W3CDTF">2024-09-30T01:47:00Z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